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ED3" w:rsidRPr="00794ED3" w:rsidRDefault="00794ED3" w:rsidP="00573515">
      <w:pPr>
        <w:widowControl w:val="0"/>
        <w:autoSpaceDE w:val="0"/>
        <w:autoSpaceDN w:val="0"/>
        <w:adjustRightInd w:val="0"/>
        <w:rPr>
          <w:rFonts w:asciiTheme="majorBidi" w:hAnsiTheme="majorBidi" w:cstheme="majorBidi"/>
          <w:b/>
          <w:bCs/>
          <w:u w:val="single"/>
        </w:rPr>
      </w:pPr>
      <w:r w:rsidRPr="00794ED3">
        <w:rPr>
          <w:rFonts w:asciiTheme="majorBidi" w:hAnsiTheme="majorBidi" w:cstheme="majorBidi"/>
          <w:b/>
          <w:bCs/>
          <w:color w:val="000000"/>
          <w:shd w:val="clear" w:color="auto" w:fill="FFFFFF"/>
        </w:rPr>
        <w:t>PACEMAKER COMPLICATION DOCUMENTATION AND THE EFFECT OF A CHANGE IN ANTIBIOTIC GUIDELINES</w:t>
      </w:r>
    </w:p>
    <w:p w:rsidR="00B921ED" w:rsidRDefault="00B921ED" w:rsidP="00573515">
      <w:pPr>
        <w:widowControl w:val="0"/>
        <w:autoSpaceDE w:val="0"/>
        <w:autoSpaceDN w:val="0"/>
        <w:adjustRightInd w:val="0"/>
      </w:pPr>
      <w:r w:rsidRPr="00573515">
        <w:rPr>
          <w:b/>
          <w:bCs/>
          <w:u w:val="single"/>
        </w:rPr>
        <w:t>J</w:t>
      </w:r>
      <w:r w:rsidR="00573515" w:rsidRPr="00573515">
        <w:rPr>
          <w:b/>
          <w:bCs/>
          <w:u w:val="single"/>
        </w:rPr>
        <w:t>.</w:t>
      </w:r>
      <w:r w:rsidRPr="00573515">
        <w:rPr>
          <w:b/>
          <w:bCs/>
          <w:u w:val="single"/>
        </w:rPr>
        <w:t xml:space="preserve"> B</w:t>
      </w:r>
      <w:bookmarkStart w:id="0" w:name="_GoBack"/>
      <w:bookmarkEnd w:id="0"/>
      <w:r w:rsidRPr="00573515">
        <w:rPr>
          <w:b/>
          <w:bCs/>
          <w:u w:val="single"/>
        </w:rPr>
        <w:t>asu</w:t>
      </w:r>
      <w:r w:rsidR="00573515" w:rsidRPr="00573515">
        <w:rPr>
          <w:b/>
          <w:bCs/>
          <w:u w:val="single"/>
          <w:vertAlign w:val="superscript"/>
        </w:rPr>
        <w:t>1</w:t>
      </w:r>
      <w:r>
        <w:t>, L</w:t>
      </w:r>
      <w:r w:rsidR="00573515">
        <w:t>.</w:t>
      </w:r>
      <w:r>
        <w:t xml:space="preserve"> West</w:t>
      </w:r>
      <w:r w:rsidR="00573515" w:rsidRPr="00573515">
        <w:rPr>
          <w:vertAlign w:val="superscript"/>
        </w:rPr>
        <w:t>2</w:t>
      </w:r>
      <w:r>
        <w:t>, S</w:t>
      </w:r>
      <w:r w:rsidR="00573515">
        <w:t>.</w:t>
      </w:r>
      <w:r>
        <w:t xml:space="preserve"> Firoozan</w:t>
      </w:r>
      <w:r w:rsidR="00573515" w:rsidRPr="00573515">
        <w:rPr>
          <w:vertAlign w:val="superscript"/>
        </w:rPr>
        <w:t>2</w:t>
      </w:r>
    </w:p>
    <w:p w:rsidR="00573515" w:rsidRDefault="00573515" w:rsidP="00573515">
      <w:pPr>
        <w:widowControl w:val="0"/>
        <w:autoSpaceDE w:val="0"/>
        <w:autoSpaceDN w:val="0"/>
        <w:adjustRightInd w:val="0"/>
        <w:rPr>
          <w:color w:val="000000"/>
        </w:rPr>
      </w:pPr>
      <w:r>
        <w:rPr>
          <w:color w:val="000000"/>
        </w:rPr>
        <w:t xml:space="preserve">1. </w:t>
      </w:r>
      <w:r w:rsidR="00B921ED">
        <w:rPr>
          <w:color w:val="000000"/>
        </w:rPr>
        <w:t>Royal Berkshire Hospital, Reading, UK</w:t>
      </w:r>
    </w:p>
    <w:p w:rsidR="00B921ED" w:rsidRDefault="00573515" w:rsidP="00573515">
      <w:pPr>
        <w:widowControl w:val="0"/>
        <w:autoSpaceDE w:val="0"/>
        <w:autoSpaceDN w:val="0"/>
        <w:adjustRightInd w:val="0"/>
        <w:rPr>
          <w:color w:val="503820"/>
        </w:rPr>
      </w:pPr>
      <w:r>
        <w:rPr>
          <w:color w:val="000000"/>
        </w:rPr>
        <w:t xml:space="preserve">2. </w:t>
      </w:r>
      <w:r w:rsidR="00B921ED">
        <w:rPr>
          <w:color w:val="000000"/>
        </w:rPr>
        <w:t>Wycombe General Hospital, Wycombe, UK</w:t>
      </w:r>
    </w:p>
    <w:p w:rsidR="00B921ED" w:rsidRDefault="00B921ED">
      <w:pPr>
        <w:widowControl w:val="0"/>
        <w:autoSpaceDE w:val="0"/>
        <w:autoSpaceDN w:val="0"/>
        <w:adjustRightInd w:val="0"/>
      </w:pPr>
    </w:p>
    <w:p w:rsidR="00573515" w:rsidRDefault="00B921ED">
      <w:pPr>
        <w:widowControl w:val="0"/>
        <w:autoSpaceDE w:val="0"/>
        <w:autoSpaceDN w:val="0"/>
        <w:adjustRightInd w:val="0"/>
        <w:jc w:val="both"/>
      </w:pPr>
      <w:r w:rsidRPr="00573515">
        <w:rPr>
          <w:i/>
          <w:iCs/>
        </w:rPr>
        <w:t>Background</w:t>
      </w:r>
      <w:r w:rsidR="00573515">
        <w:t xml:space="preserve">: </w:t>
      </w:r>
      <w:r>
        <w:t xml:space="preserve">Heart Rhythm UK states that 'all implanting </w:t>
      </w:r>
      <w:proofErr w:type="spellStart"/>
      <w:r>
        <w:t>centres</w:t>
      </w:r>
      <w:proofErr w:type="spellEnd"/>
      <w:r>
        <w:t xml:space="preserve"> must collect data on their patients, devices and follow-up which is immediately available and facilitates audit...This is a national quality requirement and is audited by the Care Quality Commission.’ </w:t>
      </w:r>
      <w:r w:rsidRPr="00573515">
        <w:rPr>
          <w:i/>
          <w:iCs/>
        </w:rPr>
        <w:t>Objectives</w:t>
      </w:r>
      <w:r w:rsidR="00573515">
        <w:t xml:space="preserve">: </w:t>
      </w:r>
      <w:r>
        <w:t xml:space="preserve"> This project set out to establish if complication rates were accurately recorded and available and with regard to pacemaker complication rates, whether there had been an increase in pacemaker infection rates with the introduction of a new </w:t>
      </w:r>
      <w:proofErr w:type="spellStart"/>
      <w:r>
        <w:t>peri</w:t>
      </w:r>
      <w:proofErr w:type="spellEnd"/>
      <w:r>
        <w:t>-procedure antibiotic guideline.</w:t>
      </w:r>
    </w:p>
    <w:p w:rsidR="00573515" w:rsidRDefault="00B921ED">
      <w:pPr>
        <w:widowControl w:val="0"/>
        <w:autoSpaceDE w:val="0"/>
        <w:autoSpaceDN w:val="0"/>
        <w:adjustRightInd w:val="0"/>
        <w:jc w:val="both"/>
      </w:pPr>
      <w:r w:rsidRPr="00573515">
        <w:rPr>
          <w:i/>
          <w:iCs/>
        </w:rPr>
        <w:t>Methods</w:t>
      </w:r>
      <w:r w:rsidR="00573515">
        <w:t xml:space="preserve">: </w:t>
      </w:r>
      <w:r>
        <w:t xml:space="preserve">A search of the cardiology procedural database TOMCAT was performed to identify all pacing/pacing related procedures performed </w:t>
      </w:r>
      <w:proofErr w:type="gramStart"/>
      <w:r>
        <w:t>between May 2011-May 2015</w:t>
      </w:r>
      <w:proofErr w:type="gramEnd"/>
      <w:r>
        <w:t>. As there was no way to search for specific complications other than lead revision a hand search was carried out of all letters pertaining to each of the 1281 patients.</w:t>
      </w:r>
    </w:p>
    <w:p w:rsidR="00573515" w:rsidRDefault="00B921ED">
      <w:pPr>
        <w:widowControl w:val="0"/>
        <w:autoSpaceDE w:val="0"/>
        <w:autoSpaceDN w:val="0"/>
        <w:adjustRightInd w:val="0"/>
        <w:jc w:val="both"/>
      </w:pPr>
      <w:r w:rsidRPr="00573515">
        <w:rPr>
          <w:i/>
          <w:iCs/>
        </w:rPr>
        <w:t>Results</w:t>
      </w:r>
      <w:r w:rsidR="00573515">
        <w:t xml:space="preserve">: </w:t>
      </w:r>
      <w:r>
        <w:t xml:space="preserve">Although complications were documented they were not available on a quick search and therefore not readily accessible. Interestingly there was also a significant increase in pacemaker infection rates post antibiotic guideline changes.  </w:t>
      </w:r>
    </w:p>
    <w:p w:rsidR="00B921ED" w:rsidRDefault="00B921ED">
      <w:pPr>
        <w:widowControl w:val="0"/>
        <w:autoSpaceDE w:val="0"/>
        <w:autoSpaceDN w:val="0"/>
        <w:adjustRightInd w:val="0"/>
        <w:jc w:val="both"/>
      </w:pPr>
      <w:r w:rsidRPr="00573515">
        <w:rPr>
          <w:i/>
          <w:iCs/>
        </w:rPr>
        <w:t>Conclusions</w:t>
      </w:r>
      <w:r w:rsidR="00573515">
        <w:t xml:space="preserve">: </w:t>
      </w:r>
      <w:r>
        <w:t xml:space="preserve">Our results suggest that currently, we do not adhere to Heart rhythm UK recommendations regarding the documentation of pacing related complications. Our findings also suggest at least a possible role for the antibiotic guideline change in the observed increase in pacemaker infection rates. Our proposed strategy is to employ a pop up box on TOMCAT serving as a required field in any patient undergoing a pacing procedure.  With regards to infection rates, switching the antibiotic regime back to the original protocol and comparing infection rates after a period of 2 years would then allow for statistical analysis to deduce if this was a contributing factor.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3A3" w:rsidRDefault="00B213A3" w:rsidP="00573515">
      <w:r>
        <w:separator/>
      </w:r>
    </w:p>
  </w:endnote>
  <w:endnote w:type="continuationSeparator" w:id="0">
    <w:p w:rsidR="00B213A3" w:rsidRDefault="00B213A3" w:rsidP="0057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3A3" w:rsidRDefault="00B213A3" w:rsidP="00573515">
      <w:r>
        <w:separator/>
      </w:r>
    </w:p>
  </w:footnote>
  <w:footnote w:type="continuationSeparator" w:id="0">
    <w:p w:rsidR="00B213A3" w:rsidRDefault="00B213A3" w:rsidP="00573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515" w:rsidRDefault="00573515" w:rsidP="00573515">
    <w:pPr>
      <w:pStyle w:val="Header"/>
    </w:pPr>
    <w:r>
      <w:t>1131     either    Cat: Miscellaneous</w:t>
    </w:r>
  </w:p>
  <w:p w:rsidR="00573515" w:rsidRDefault="005735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0789A"/>
    <w:rsid w:val="00447B2F"/>
    <w:rsid w:val="00573515"/>
    <w:rsid w:val="00794ED3"/>
    <w:rsid w:val="00AD3A0D"/>
    <w:rsid w:val="00B213A3"/>
    <w:rsid w:val="00B92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18C8A6-7AA6-4AC6-AA91-2545FEC5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515"/>
    <w:pPr>
      <w:tabs>
        <w:tab w:val="center" w:pos="4680"/>
        <w:tab w:val="right" w:pos="9360"/>
      </w:tabs>
    </w:pPr>
  </w:style>
  <w:style w:type="character" w:customStyle="1" w:styleId="HeaderChar">
    <w:name w:val="Header Char"/>
    <w:basedOn w:val="DefaultParagraphFont"/>
    <w:link w:val="Header"/>
    <w:uiPriority w:val="99"/>
    <w:rsid w:val="00573515"/>
    <w:rPr>
      <w:sz w:val="24"/>
      <w:szCs w:val="24"/>
    </w:rPr>
  </w:style>
  <w:style w:type="paragraph" w:styleId="Footer">
    <w:name w:val="footer"/>
    <w:basedOn w:val="Normal"/>
    <w:link w:val="FooterChar"/>
    <w:uiPriority w:val="99"/>
    <w:unhideWhenUsed/>
    <w:rsid w:val="00573515"/>
    <w:pPr>
      <w:tabs>
        <w:tab w:val="center" w:pos="4680"/>
        <w:tab w:val="right" w:pos="9360"/>
      </w:tabs>
    </w:pPr>
  </w:style>
  <w:style w:type="character" w:customStyle="1" w:styleId="FooterChar">
    <w:name w:val="Footer Char"/>
    <w:basedOn w:val="DefaultParagraphFont"/>
    <w:link w:val="Footer"/>
    <w:uiPriority w:val="99"/>
    <w:rsid w:val="005735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2016-02-28T15:54:00Z</dcterms:created>
  <dcterms:modified xsi:type="dcterms:W3CDTF">2016-03-07T08:18:00Z</dcterms:modified>
</cp:coreProperties>
</file>